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06" w:rsidRPr="00725F06" w:rsidRDefault="00725F06" w:rsidP="00725F06">
      <w:pPr>
        <w:spacing w:line="240" w:lineRule="auto"/>
        <w:ind w:right="-360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25F06">
        <w:rPr>
          <w:rFonts w:ascii="Verdana" w:hAnsi="Verdana"/>
          <w:b/>
          <w:bCs/>
          <w:sz w:val="20"/>
          <w:szCs w:val="20"/>
        </w:rPr>
        <w:t>The New American Folly in Libya</w:t>
      </w:r>
    </w:p>
    <w:p w:rsidR="00725F06" w:rsidRDefault="00725F06" w:rsidP="00725F06">
      <w:pPr>
        <w:spacing w:line="240" w:lineRule="auto"/>
        <w:ind w:right="-360"/>
        <w:contextualSpacing/>
        <w:jc w:val="center"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Gary Null</w:t>
      </w:r>
    </w:p>
    <w:p w:rsidR="00725F06" w:rsidRPr="00725F06" w:rsidRDefault="00725F06" w:rsidP="00725F06">
      <w:pPr>
        <w:spacing w:line="240" w:lineRule="auto"/>
        <w:ind w:right="-360"/>
        <w:contextualSpacing/>
        <w:jc w:val="center"/>
        <w:rPr>
          <w:rFonts w:ascii="Verdana" w:hAnsi="Verdana"/>
          <w:sz w:val="20"/>
          <w:szCs w:val="20"/>
        </w:rPr>
      </w:pPr>
    </w:p>
    <w:p w:rsidR="00725F06" w:rsidRDefault="00725F06" w:rsidP="00725F06">
      <w:pPr>
        <w:spacing w:line="240" w:lineRule="auto"/>
        <w:ind w:right="-360"/>
        <w:contextualSpacing/>
        <w:jc w:val="center"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Progressive Radio Network, April 1, 2011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“I call them (the Libyan rebels) freedom fighters… now they are retreating… after</w:t>
      </w: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all that, does the world community stand by and watch the freedom fighters get</w:t>
      </w: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crushed? The president [Barak Obama] pledged that there would be no US troops</w:t>
      </w: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on the ground.. but today we learned that CIA operatives are on the ground, so</w:t>
      </w: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what does that all mean? Still it looks like the freedom fighters only shot for</w:t>
      </w: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survival at this point is a real injection of military hardware that they say they</w:t>
      </w: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desperately need… whether or not we arm rebels, freedom fighters, whatever you</w:t>
      </w: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want to call them, is a very hard decision. But I think we have to do it… it is a</w:t>
      </w: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moral decision at this point… we have a state, New Hampshire, (with the motto)</w:t>
      </w:r>
    </w:p>
    <w:p w:rsid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 xml:space="preserve">‘live free or die.’ What do you think that Libyan freedom fighter wants?” </w:t>
      </w:r>
      <w:r>
        <w:rPr>
          <w:rFonts w:ascii="Verdana" w:hAnsi="Verdana"/>
          <w:iCs/>
          <w:sz w:val="20"/>
          <w:szCs w:val="20"/>
        </w:rPr>
        <w:t>–</w:t>
      </w:r>
      <w:r w:rsidRPr="00725F06">
        <w:rPr>
          <w:rFonts w:ascii="Verdana" w:hAnsi="Verdana"/>
          <w:iCs/>
          <w:sz w:val="20"/>
          <w:szCs w:val="20"/>
        </w:rPr>
        <w:t xml:space="preserve"> </w:t>
      </w:r>
    </w:p>
    <w:p w:rsidR="00725F06" w:rsidRPr="00725F06" w:rsidRDefault="00725F06" w:rsidP="00725F06">
      <w:pPr>
        <w:tabs>
          <w:tab w:val="left" w:pos="9450"/>
        </w:tabs>
        <w:spacing w:line="240" w:lineRule="auto"/>
        <w:ind w:right="-360"/>
        <w:contextualSpacing/>
        <w:rPr>
          <w:rFonts w:ascii="Verdana" w:hAnsi="Verdana"/>
          <w:iCs/>
          <w:sz w:val="20"/>
          <w:szCs w:val="20"/>
        </w:rPr>
      </w:pPr>
      <w:r w:rsidRPr="00725F06">
        <w:rPr>
          <w:rFonts w:ascii="Verdana" w:hAnsi="Verdana"/>
          <w:iCs/>
          <w:sz w:val="20"/>
          <w:szCs w:val="20"/>
        </w:rPr>
        <w:t>Ed</w:t>
      </w:r>
      <w:r>
        <w:rPr>
          <w:rFonts w:ascii="Verdana" w:hAnsi="Verdana"/>
          <w:iCs/>
          <w:sz w:val="20"/>
          <w:szCs w:val="20"/>
        </w:rPr>
        <w:t xml:space="preserve">  </w:t>
      </w:r>
      <w:r w:rsidRPr="00725F06">
        <w:rPr>
          <w:rFonts w:ascii="Verdana" w:hAnsi="Verdana"/>
          <w:iCs/>
          <w:sz w:val="20"/>
          <w:szCs w:val="20"/>
        </w:rPr>
        <w:t>Schultz, MSNBC, March 30, 2011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i/>
          <w:iCs/>
          <w:sz w:val="20"/>
          <w:szCs w:val="20"/>
        </w:rPr>
      </w:pP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What happens when we extend the logic and beliefs of Ed Schultz and others, including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Rachel Maddow and Lawrence O’Donnell, who accept Obama’s rationale for intervening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militarily in Libya, which mirror those of the neocons and personalities like O’Reilly and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Hannity on the radical right? For the reason that Gaddafi was responsible for the bombing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of the Pan Am Flight 103 over Lockerbie Scotland, killing 259 passengers, we are being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told that arming, funding and training any opposition factions in Libya is perfectly justified.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But then, is it not also true by that same logic that any civilians or innocent bystanders that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were killed, tortured or disappeared as a direct result of America’s interventions in other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nations are also justified to attack Americans and US interests globally? It is this old adage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of “an eye for an eye” reactionary posturing that repeatedly leads us into multiple disasters,</w:t>
      </w:r>
    </w:p>
    <w:p w:rsid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wars, revolutions, regime changes and a trail of failed foreign policies.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Moreover, Robert Parry has noted that the New York Times and the Washington Post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“both believe that the United States should have begun bombing Libya before the United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Nations Security Council approved the mission – a sign that the two preeminent American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newspapers continue their slide into neo-conservatism…. This neo-con attitude – eager for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‘regime change’ in Muslim countries deemed enemies of Israel- has long dominated the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Washington Post, with its editorial page under the control of neo-con Fred Hiatt and with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its stable of neo-con writers who routinely adopt Likud-like positions regarding the Middle</w:t>
      </w:r>
    </w:p>
    <w:p w:rsid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East”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Who are these so-called rebels and freedom fighters really? “The US and other key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NATO countries have rushed to the aid of the Libyans,” says HYPERLINK "http://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globalresearch.ca/index.php?context=va&amp;aid=23949" Webster Tarbley, “but really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shouldn’t they be exercising caution and actually try to learn some basic facts?”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Tarbley’s analysis of a 2007 West Point study conducted by Joseph Felter and Brian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Fishman into the background of jihadis, guerrilla fighters, and suicide bombers entering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Iraq from Syria between 2006-2007, found that Libyans (18.8 percent) were the second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largest nationality following Saudi Arabia (41 percent) – an important finding since Libya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has a much smaller population than other Arab nations. That means one-fifth of all armed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individuals that contributed to the deaths of over 4,000 American troops and countless Iraqi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civilians were Libyan. The Libyan region of Darnah has been identified as one of the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“greatest concentrations of jihadi terrorists to be found anywhere in the world…. suicide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bomber heaven,” according to Tarpley. More suicide bombers against American soldiers</w:t>
      </w:r>
    </w:p>
    <w:p w:rsid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were bred and raised in Libya than another other Arab country.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As the Obama White House bulldozes into the tribal morass of Libya, a critical question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being ignored was noted by Martin Ottman on the University of Nottingham’s International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Relations website. That is, the many Libyan rebel groups and organizations are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“considerably fragmented over political objectives and strategies.” Libya is not Egypt.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During the popular protest against Mubarak’s regime and its ultimate collapse, many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otherwise opposing groups and ideologies, from the deeply radical fundamentalist to the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extreme secular, were united in a common cause. Libya on the other hand is a quagmire of</w:t>
      </w:r>
    </w:p>
    <w:p w:rsid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tribal politics and warring ethnicities with racist underpinnings.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Why is it so difficult for our leaders, especially Obama, and supposedly well informed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journalists such Rachel Maddow and Ed Schultz, to recognize the historical déjà vu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manifesting before their eyes? Between 1970 and the US’s recent invasion of Libya, there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have been over 50 direct interventions by the US in other countries that have led to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murders, torture, or severe anti-democratic suppression of populations. In most cases a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despot with questionable sanity and pathological tendencies usurped power with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Washington’s blessings – General Suharto in Indonesia, the Shah of Iran, Sadam Hussein,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Augusto Pinochet, Haiti’s Raoul Cedras, Jacobo Arbenz in Guatemala, Ferdinand Marcos,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and many others. The poisonous fruits of American’s interventions continue to plaque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America’s foreign policies and the safety of the American people: the birthing of Al-Qaeda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and the Taliban in Afghanistan, the present fundamentalist regime in Iran, Colombia and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Haiti. And this at an astronomical cost to America’s economic well-being. It was the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Reagan Administration that fueled the mujahedeen that would evolve into our nemesis in</w:t>
      </w:r>
    </w:p>
    <w:p w:rsid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the Middle East.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So by supplying Libyan opposition groups with weapons, the Obama administration is in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direct violation of the 1973 resolution which called for a complete arms embargo on Libya.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Critics argue that the weapons will be used against Gaddafi and so there is no violation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here. As Tarpley observes, we are again entering a zone, as in previous conflicts, where we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cannot be “sure that the weapons will not end up being used against those who supplied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them leading to the loss of more American lives and billions of dollars wasted.”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As noted by HYPERLINK "http://www.progressiveradionetwork.com/more-politicalarticles/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2011/3/31/peter-dale-scott-who-are-the-libyan-freedom-fighters-and-the.html" Peter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Dale Scott, in February 2004, then Director of Central Intelligence George Tenet testified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before the Senate Intelligence Committee that “one of the most immediate threats to US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security is from smaller international Sunni extremist groups that have benefited from Al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Qaeda links. They include… the Libyan Islamic Fighting group [LIFG]” The LIFG just so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happens to be one of the more extreme jihadi groups operating against Gaddafi in Libya.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Comprised of former mujahideen veterans during the Afghan occupation by the Soviet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Union, there is sufficient intelligence, according Scott, that they have close links with Al-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Qaeda. Even former CIA director, George Tenet testified to the Senate that the LIFG could</w:t>
      </w:r>
    </w:p>
    <w:p w:rsid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pose one the greater threats to US security.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Al-Qaeda is no friend of Gaddafi’s anti-Islamist government. Therefore it is not a surprise,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as reported in the Telegraph, that al-Qaeda“issued a call for supporters to back the Libyan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rebellion, which is said would lead to the imposition of ‘the stage of Islam’ in the country.”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When take a pause and reflect on the long history of American interventions, arming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factions and groups and christening dictators and criminals, we need to envision clearly the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unintended consequences and then ask, what will the long term results likely be to our</w:t>
      </w:r>
    </w:p>
    <w:p w:rsid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Libyan adventure?</w:t>
      </w:r>
    </w:p>
    <w:p w:rsidR="00725F06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</w:p>
    <w:p w:rsid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 xml:space="preserve">Although she has rather dismal record in prophesying, HYPERLINK </w:t>
      </w:r>
    </w:p>
    <w:p w:rsidR="001957A1" w:rsidRPr="00725F06" w:rsidRDefault="00725F06" w:rsidP="00725F06">
      <w:pPr>
        <w:spacing w:line="240" w:lineRule="auto"/>
        <w:ind w:right="-360"/>
        <w:contextualSpacing/>
        <w:rPr>
          <w:rFonts w:ascii="Verdana" w:hAnsi="Verdana"/>
          <w:sz w:val="20"/>
          <w:szCs w:val="20"/>
        </w:rPr>
      </w:pPr>
      <w:r w:rsidRPr="00725F06">
        <w:rPr>
          <w:rFonts w:ascii="Verdana" w:hAnsi="Verdana"/>
          <w:sz w:val="20"/>
          <w:szCs w:val="20"/>
        </w:rPr>
        <w:t>"http://hillaryclinton.us/2011/02/27/hillary-clinton-u-s-stands-ready-to-aid-libya-protesters/" Hillary</w:t>
      </w:r>
      <w:r>
        <w:rPr>
          <w:rFonts w:ascii="Verdana" w:hAnsi="Verdana"/>
          <w:sz w:val="20"/>
          <w:szCs w:val="20"/>
        </w:rPr>
        <w:t xml:space="preserve"> </w:t>
      </w:r>
      <w:r w:rsidRPr="00725F06">
        <w:rPr>
          <w:rFonts w:ascii="Verdana" w:hAnsi="Verdana"/>
          <w:sz w:val="20"/>
          <w:szCs w:val="20"/>
        </w:rPr>
        <w:t>Clinton may have gotten one prediction correct recently, "We are just at the beginning of</w:t>
      </w:r>
      <w:r>
        <w:rPr>
          <w:rFonts w:ascii="Verdana" w:hAnsi="Verdana"/>
          <w:sz w:val="20"/>
          <w:szCs w:val="20"/>
        </w:rPr>
        <w:t xml:space="preserve"> </w:t>
      </w:r>
      <w:r w:rsidRPr="00725F06">
        <w:rPr>
          <w:rFonts w:ascii="Verdana" w:hAnsi="Verdana"/>
          <w:sz w:val="20"/>
          <w:szCs w:val="20"/>
        </w:rPr>
        <w:t>what will follow Gaddafi.'" Indeed, the experts would agree. Yes, Hillary, some real experts</w:t>
      </w:r>
      <w:r>
        <w:rPr>
          <w:rFonts w:ascii="Verdana" w:hAnsi="Verdana"/>
          <w:sz w:val="20"/>
          <w:szCs w:val="20"/>
        </w:rPr>
        <w:t xml:space="preserve"> </w:t>
      </w:r>
      <w:r w:rsidRPr="00725F06">
        <w:rPr>
          <w:rFonts w:ascii="Verdana" w:hAnsi="Verdana"/>
          <w:sz w:val="20"/>
          <w:szCs w:val="20"/>
        </w:rPr>
        <w:t>in the field would agree. The political scientist Paul Sullivan at Georgetown University</w:t>
      </w:r>
      <w:r>
        <w:rPr>
          <w:rFonts w:ascii="Verdana" w:hAnsi="Verdana"/>
          <w:sz w:val="20"/>
          <w:szCs w:val="20"/>
        </w:rPr>
        <w:t xml:space="preserve"> </w:t>
      </w:r>
      <w:r w:rsidRPr="00725F06">
        <w:rPr>
          <w:rFonts w:ascii="Verdana" w:hAnsi="Verdana"/>
          <w:sz w:val="20"/>
          <w:szCs w:val="20"/>
        </w:rPr>
        <w:t>warned in the New York Times, “It could be a very big surprise when Gaddafi leaves and</w:t>
      </w:r>
      <w:r>
        <w:rPr>
          <w:rFonts w:ascii="Verdana" w:hAnsi="Verdana"/>
          <w:sz w:val="20"/>
          <w:szCs w:val="20"/>
        </w:rPr>
        <w:t xml:space="preserve"> </w:t>
      </w:r>
      <w:r w:rsidRPr="00725F06">
        <w:rPr>
          <w:rFonts w:ascii="Verdana" w:hAnsi="Verdana"/>
          <w:sz w:val="20"/>
          <w:szCs w:val="20"/>
        </w:rPr>
        <w:t>we find out who we are really dealing with.”</w:t>
      </w:r>
    </w:p>
    <w:sectPr w:rsidR="001957A1" w:rsidRPr="00725F06" w:rsidSect="00725F06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5F06"/>
    <w:rsid w:val="00123626"/>
    <w:rsid w:val="002F2B57"/>
    <w:rsid w:val="00725F06"/>
    <w:rsid w:val="00D8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1208</Words>
  <Characters>6891</Characters>
  <Application>Microsoft Office Word</Application>
  <DocSecurity>0</DocSecurity>
  <Lines>57</Lines>
  <Paragraphs>16</Paragraphs>
  <ScaleCrop>false</ScaleCrop>
  <Company>GNA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1</cp:revision>
  <dcterms:created xsi:type="dcterms:W3CDTF">2011-12-09T01:23:00Z</dcterms:created>
  <dcterms:modified xsi:type="dcterms:W3CDTF">2011-12-09T01:29:00Z</dcterms:modified>
</cp:coreProperties>
</file>